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cs="Times New Roman"/>
        </w:rPr>
      </w:pPr>
      <w:r>
        <w:rPr>
          <w:rFonts w:hint="eastAsia" w:ascii="隶书" w:eastAsia="隶书"/>
          <w:b w:val="0"/>
          <w:sz w:val="32"/>
        </w:rPr>
        <w:t>《经济法概论》</w:t>
      </w:r>
      <w:bookmarkStart w:id="0" w:name="_GoBack"/>
      <w:bookmarkEnd w:id="0"/>
      <w:r>
        <w:rPr>
          <w:rFonts w:hint="eastAsia" w:ascii="隶书" w:eastAsia="隶书"/>
          <w:b w:val="0"/>
          <w:sz w:val="32"/>
        </w:rPr>
        <w:t>参考答案</w:t>
      </w:r>
    </w:p>
    <w:p>
      <w:pPr>
        <w:snapToGrid w:val="0"/>
        <w:spacing w:line="240" w:lineRule="auto"/>
        <w:ind w:firstLine="0" w:firstLineChars="0"/>
        <w:outlineLvl w:val="0"/>
        <w:rPr>
          <w:rFonts w:cs="宋体"/>
          <w:b/>
          <w:bCs/>
        </w:rPr>
      </w:pPr>
      <w:r>
        <w:rPr>
          <w:rFonts w:hint="eastAsia" w:cs="宋体"/>
          <w:b/>
          <w:bCs/>
        </w:rPr>
        <w:t>一、单项选择题：</w:t>
      </w:r>
    </w:p>
    <w:p>
      <w:pPr>
        <w:snapToGrid w:val="0"/>
        <w:spacing w:line="240" w:lineRule="auto"/>
        <w:ind w:firstLine="105" w:firstLineChars="50"/>
        <w:rPr>
          <w:rFonts w:cs="宋体"/>
        </w:rPr>
      </w:pPr>
      <w:r>
        <w:rPr>
          <w:rFonts w:cs="宋体"/>
        </w:rPr>
        <w:t>1.C    2.B    3.D    4.D    5.D    6.A    7.C    8.C    9.A   10.B   11.C   12.C   13.D</w:t>
      </w:r>
    </w:p>
    <w:p>
      <w:pPr>
        <w:snapToGrid w:val="0"/>
        <w:spacing w:line="240" w:lineRule="auto"/>
        <w:ind w:firstLine="0" w:firstLineChars="0"/>
        <w:rPr>
          <w:rFonts w:cs="宋体"/>
        </w:rPr>
      </w:pPr>
      <w:r>
        <w:rPr>
          <w:rFonts w:cs="宋体"/>
        </w:rPr>
        <w:t xml:space="preserve">14.D   15.B   </w:t>
      </w:r>
    </w:p>
    <w:p>
      <w:pPr>
        <w:snapToGrid w:val="0"/>
        <w:spacing w:line="240" w:lineRule="auto"/>
        <w:ind w:firstLine="0" w:firstLineChars="0"/>
        <w:outlineLvl w:val="0"/>
        <w:rPr>
          <w:rFonts w:cs="宋体"/>
          <w:b/>
          <w:bCs/>
        </w:rPr>
      </w:pPr>
    </w:p>
    <w:p>
      <w:pPr>
        <w:snapToGrid w:val="0"/>
        <w:spacing w:line="240" w:lineRule="auto"/>
        <w:ind w:firstLine="0" w:firstLineChars="0"/>
        <w:outlineLvl w:val="0"/>
        <w:rPr>
          <w:rFonts w:cs="宋体"/>
          <w:b/>
          <w:bCs/>
        </w:rPr>
      </w:pPr>
      <w:r>
        <w:rPr>
          <w:rFonts w:hint="eastAsia" w:cs="宋体"/>
          <w:b/>
          <w:bCs/>
        </w:rPr>
        <w:t>二、多项选择题：</w:t>
      </w:r>
    </w:p>
    <w:p>
      <w:pPr>
        <w:snapToGrid w:val="0"/>
        <w:spacing w:line="240" w:lineRule="auto"/>
        <w:ind w:firstLine="105" w:firstLineChars="50"/>
        <w:rPr>
          <w:rFonts w:cs="宋体"/>
        </w:rPr>
      </w:pPr>
      <w:r>
        <w:rPr>
          <w:rFonts w:cs="宋体"/>
        </w:rPr>
        <w:t>1.ABD      2.ABC       3.ABC      4.ABCD      5.BCD       6.ABCD      7.ABC      8.ABD</w:t>
      </w:r>
    </w:p>
    <w:p>
      <w:pPr>
        <w:snapToGrid w:val="0"/>
        <w:spacing w:line="240" w:lineRule="auto"/>
        <w:ind w:firstLine="0" w:firstLineChars="0"/>
        <w:rPr>
          <w:rFonts w:cs="宋体"/>
        </w:rPr>
      </w:pPr>
      <w:r>
        <w:rPr>
          <w:rFonts w:cs="宋体"/>
        </w:rPr>
        <w:t xml:space="preserve">9.AB      10.ABCD     </w:t>
      </w:r>
    </w:p>
    <w:p>
      <w:pPr>
        <w:snapToGrid w:val="0"/>
        <w:spacing w:line="240" w:lineRule="auto"/>
        <w:ind w:firstLine="0" w:firstLineChars="0"/>
        <w:outlineLvl w:val="0"/>
        <w:rPr>
          <w:rFonts w:cs="宋体"/>
          <w:b/>
          <w:bCs/>
        </w:rPr>
      </w:pPr>
    </w:p>
    <w:p>
      <w:pPr>
        <w:snapToGrid w:val="0"/>
        <w:spacing w:line="240" w:lineRule="auto"/>
        <w:ind w:firstLine="0" w:firstLineChars="0"/>
        <w:outlineLvl w:val="0"/>
        <w:rPr>
          <w:rFonts w:cs="宋体"/>
          <w:b/>
          <w:bCs/>
        </w:rPr>
      </w:pPr>
      <w:r>
        <w:rPr>
          <w:rFonts w:hint="eastAsia" w:cs="宋体"/>
          <w:b/>
          <w:bCs/>
        </w:rPr>
        <w:t>三、判断题：</w:t>
      </w:r>
    </w:p>
    <w:p>
      <w:pPr>
        <w:snapToGrid w:val="0"/>
        <w:spacing w:line="240" w:lineRule="auto"/>
        <w:ind w:firstLine="105" w:firstLineChars="50"/>
        <w:rPr>
          <w:rFonts w:cs="宋体"/>
        </w:rPr>
      </w:pPr>
      <w:r>
        <w:rPr>
          <w:rFonts w:cs="宋体"/>
        </w:rPr>
        <w:t>1</w:t>
      </w:r>
      <w:r>
        <w:t>.</w:t>
      </w:r>
      <w:r>
        <w:rPr>
          <w:rFonts w:hint="eastAsia"/>
        </w:rPr>
        <w:t>√</w:t>
      </w:r>
      <w:r>
        <w:rPr>
          <w:rFonts w:cs="宋体"/>
        </w:rPr>
        <w:t xml:space="preserve">    2</w:t>
      </w:r>
      <w:r>
        <w:t>.</w:t>
      </w:r>
      <w:r>
        <w:rPr>
          <w:rFonts w:hint="eastAsia"/>
        </w:rPr>
        <w:t>√</w:t>
      </w:r>
      <w:r>
        <w:rPr>
          <w:rFonts w:cs="宋体"/>
        </w:rPr>
        <w:t xml:space="preserve">    3</w:t>
      </w:r>
      <w:r>
        <w:t>.</w:t>
      </w:r>
      <w:r>
        <w:rPr>
          <w:rFonts w:hint="eastAsia"/>
        </w:rPr>
        <w:t>√</w:t>
      </w:r>
      <w:r>
        <w:rPr>
          <w:rFonts w:cs="宋体"/>
        </w:rPr>
        <w:t xml:space="preserve">    4</w:t>
      </w:r>
      <w:r>
        <w:t>.</w:t>
      </w:r>
      <w:r>
        <w:rPr>
          <w:rFonts w:hint="eastAsia"/>
        </w:rPr>
        <w:t>√</w:t>
      </w:r>
      <w:r>
        <w:rPr>
          <w:rFonts w:cs="宋体"/>
        </w:rPr>
        <w:t xml:space="preserve">    5.</w:t>
      </w:r>
      <w:r>
        <w:rPr>
          <w:rFonts w:hint="eastAsia"/>
        </w:rPr>
        <w:t>×</w:t>
      </w:r>
      <w:r>
        <w:t xml:space="preserve">  </w:t>
      </w:r>
      <w:r>
        <w:rPr>
          <w:rFonts w:cs="宋体"/>
        </w:rPr>
        <w:t xml:space="preserve">  6</w:t>
      </w:r>
      <w:r>
        <w:t>.</w:t>
      </w:r>
      <w:r>
        <w:rPr>
          <w:rFonts w:hint="eastAsia"/>
        </w:rPr>
        <w:t>√</w:t>
      </w:r>
      <w:r>
        <w:t xml:space="preserve">  </w:t>
      </w:r>
      <w:r>
        <w:rPr>
          <w:rFonts w:cs="宋体"/>
        </w:rPr>
        <w:t xml:space="preserve">  7.</w:t>
      </w:r>
      <w:r>
        <w:rPr>
          <w:rFonts w:hint="eastAsia"/>
        </w:rPr>
        <w:t>×</w:t>
      </w:r>
      <w:r>
        <w:rPr>
          <w:rFonts w:cs="宋体"/>
        </w:rPr>
        <w:t xml:space="preserve">    8</w:t>
      </w:r>
      <w:r>
        <w:t>.</w:t>
      </w:r>
      <w:r>
        <w:rPr>
          <w:rFonts w:hint="eastAsia"/>
        </w:rPr>
        <w:t>√</w:t>
      </w:r>
      <w:r>
        <w:rPr>
          <w:rFonts w:cs="宋体"/>
        </w:rPr>
        <w:t xml:space="preserve">     9</w:t>
      </w:r>
      <w:r>
        <w:t>.</w:t>
      </w:r>
      <w:r>
        <w:rPr>
          <w:rFonts w:hint="eastAsia"/>
        </w:rPr>
        <w:t>√</w:t>
      </w:r>
      <w:r>
        <w:rPr>
          <w:rFonts w:cs="宋体"/>
        </w:rPr>
        <w:t xml:space="preserve">   10</w:t>
      </w:r>
      <w:r>
        <w:t>.</w:t>
      </w:r>
      <w:r>
        <w:rPr>
          <w:rFonts w:hint="eastAsia"/>
        </w:rPr>
        <w:t>√</w:t>
      </w:r>
      <w:r>
        <w:t xml:space="preserve">   </w:t>
      </w:r>
      <w:r>
        <w:rPr>
          <w:rFonts w:cs="宋体"/>
        </w:rPr>
        <w:t>11</w:t>
      </w:r>
      <w:r>
        <w:t>.</w:t>
      </w:r>
      <w:r>
        <w:rPr>
          <w:rFonts w:hint="eastAsia"/>
        </w:rPr>
        <w:t>√</w:t>
      </w:r>
    </w:p>
    <w:p>
      <w:pPr>
        <w:snapToGrid w:val="0"/>
        <w:spacing w:line="240" w:lineRule="auto"/>
        <w:ind w:firstLine="0" w:firstLineChars="0"/>
        <w:outlineLvl w:val="0"/>
        <w:rPr>
          <w:rFonts w:cs="宋体"/>
        </w:rPr>
      </w:pPr>
      <w:r>
        <w:rPr>
          <w:rFonts w:cs="宋体"/>
        </w:rPr>
        <w:t>12.</w:t>
      </w:r>
      <w:r>
        <w:rPr>
          <w:rFonts w:hint="eastAsia"/>
        </w:rPr>
        <w:t>×</w:t>
      </w:r>
      <w:r>
        <w:rPr>
          <w:rFonts w:cs="宋体"/>
        </w:rPr>
        <w:t xml:space="preserve">   13.</w:t>
      </w:r>
      <w:r>
        <w:rPr>
          <w:rFonts w:hint="eastAsia"/>
        </w:rPr>
        <w:t>×</w:t>
      </w:r>
      <w:r>
        <w:rPr>
          <w:rFonts w:cs="宋体"/>
        </w:rPr>
        <w:t xml:space="preserve">   14</w:t>
      </w:r>
      <w:r>
        <w:t>.</w:t>
      </w:r>
      <w:r>
        <w:rPr>
          <w:rFonts w:hint="eastAsia"/>
        </w:rPr>
        <w:t>√</w:t>
      </w:r>
      <w:r>
        <w:rPr>
          <w:rFonts w:cs="宋体"/>
        </w:rPr>
        <w:t xml:space="preserve">   15</w:t>
      </w:r>
      <w:r>
        <w:t>.</w:t>
      </w:r>
      <w:r>
        <w:rPr>
          <w:rFonts w:hint="eastAsia"/>
        </w:rPr>
        <w:t>√</w:t>
      </w:r>
      <w:r>
        <w:rPr>
          <w:rFonts w:cs="宋体"/>
        </w:rPr>
        <w:t xml:space="preserve">   </w:t>
      </w:r>
    </w:p>
    <w:p>
      <w:pPr>
        <w:snapToGrid w:val="0"/>
        <w:spacing w:line="240" w:lineRule="auto"/>
        <w:ind w:firstLine="0" w:firstLineChars="0"/>
        <w:outlineLvl w:val="0"/>
        <w:rPr>
          <w:rFonts w:cs="宋体"/>
          <w:b/>
          <w:bCs/>
        </w:rPr>
      </w:pPr>
    </w:p>
    <w:p>
      <w:pPr>
        <w:snapToGrid w:val="0"/>
        <w:spacing w:line="240" w:lineRule="auto"/>
        <w:ind w:firstLine="0" w:firstLineChars="0"/>
        <w:outlineLvl w:val="0"/>
        <w:rPr>
          <w:rFonts w:cs="宋体"/>
          <w:b/>
          <w:bCs/>
        </w:rPr>
      </w:pPr>
      <w:r>
        <w:rPr>
          <w:rFonts w:hint="eastAsia" w:cs="宋体"/>
          <w:b/>
          <w:bCs/>
        </w:rPr>
        <w:t>四、名词解释：</w:t>
      </w:r>
    </w:p>
    <w:p>
      <w:pPr>
        <w:snapToGrid w:val="0"/>
        <w:spacing w:line="240" w:lineRule="auto"/>
        <w:ind w:left="315" w:leftChars="50" w:hanging="210" w:hangingChars="100"/>
        <w:rPr>
          <w:rFonts w:hint="eastAsia" w:eastAsia="宋体" w:cs="宋体"/>
          <w:lang w:val="en-US" w:eastAsia="zh-CN"/>
        </w:rPr>
      </w:pPr>
      <w:r>
        <w:rPr>
          <w:rFonts w:hint="eastAsia" w:cs="宋体"/>
          <w:lang w:val="en-US" w:eastAsia="zh-CN"/>
        </w:rPr>
        <w:t>1、</w:t>
      </w:r>
      <w:r>
        <w:rPr>
          <w:rFonts w:hint="eastAsia" w:cs="宋体"/>
        </w:rPr>
        <w:t>经济法：是调整在国家调节社会经济过程中发生的各种社会关系，促进社会经济实现国家意志预期目标的法律规范的总称。即：规范和保障国家调节，促进社会经济协调、稳定和发展。</w:t>
      </w:r>
    </w:p>
    <w:p>
      <w:pPr>
        <w:snapToGrid w:val="0"/>
        <w:spacing w:line="240" w:lineRule="auto"/>
        <w:ind w:firstLine="105" w:firstLineChars="50"/>
        <w:rPr>
          <w:rFonts w:cs="宋体"/>
        </w:rPr>
      </w:pPr>
    </w:p>
    <w:p>
      <w:pPr>
        <w:snapToGrid w:val="0"/>
        <w:spacing w:line="240" w:lineRule="auto"/>
        <w:ind w:firstLine="105" w:firstLineChars="50"/>
        <w:rPr>
          <w:rFonts w:cs="宋体"/>
        </w:rPr>
      </w:pPr>
      <w:r>
        <w:rPr>
          <w:rFonts w:cs="宋体"/>
        </w:rPr>
        <w:t>2.</w:t>
      </w:r>
      <w:r>
        <w:rPr>
          <w:rFonts w:hint="eastAsia" w:cs="宋体"/>
        </w:rPr>
        <w:t>相关市场：指经营者在一定时期内就特定商品或者服务进行竞争的商品范围和地域范围。</w:t>
      </w:r>
    </w:p>
    <w:p>
      <w:pPr>
        <w:snapToGrid w:val="0"/>
        <w:spacing w:line="240" w:lineRule="auto"/>
        <w:ind w:firstLine="105" w:firstLineChars="50"/>
        <w:rPr>
          <w:rFonts w:cs="宋体"/>
        </w:rPr>
      </w:pPr>
    </w:p>
    <w:p>
      <w:pPr>
        <w:snapToGrid w:val="0"/>
        <w:spacing w:line="240" w:lineRule="auto"/>
        <w:ind w:firstLine="105" w:firstLineChars="50"/>
        <w:rPr>
          <w:rFonts w:cs="宋体"/>
        </w:rPr>
      </w:pPr>
      <w:r>
        <w:rPr>
          <w:rFonts w:cs="宋体"/>
        </w:rPr>
        <w:t>3.</w:t>
      </w:r>
      <w:r>
        <w:rPr>
          <w:rFonts w:hint="eastAsia" w:cs="宋体"/>
        </w:rPr>
        <w:t>财政转移支付：中央或地方政府将部分财政收入无偿让渡给下级政府、企业和居民时发生的财政支出。</w:t>
      </w:r>
    </w:p>
    <w:p>
      <w:pPr>
        <w:snapToGrid w:val="0"/>
        <w:spacing w:line="240" w:lineRule="auto"/>
        <w:ind w:left="0" w:leftChars="0" w:firstLine="0" w:firstLineChars="0"/>
        <w:rPr>
          <w:rFonts w:cs="宋体"/>
        </w:rPr>
      </w:pPr>
    </w:p>
    <w:p>
      <w:pPr>
        <w:snapToGrid w:val="0"/>
        <w:spacing w:line="240" w:lineRule="auto"/>
        <w:ind w:left="0" w:leftChars="0" w:firstLine="0" w:firstLineChars="0"/>
        <w:rPr>
          <w:rFonts w:cs="宋体"/>
        </w:rPr>
      </w:pPr>
      <w:r>
        <w:rPr>
          <w:rFonts w:cs="宋体"/>
        </w:rPr>
        <w:t>4.</w:t>
      </w:r>
      <w:r>
        <w:rPr>
          <w:rFonts w:hint="eastAsia" w:cs="宋体"/>
        </w:rPr>
        <w:t>产品召回制度：是指产品进入流通领域后，发现存在可能危害消费者人身及财产安全的缺陷时，经营者依法从市场上收回，并免费对其进行修理或更换的制度。</w:t>
      </w:r>
    </w:p>
    <w:p>
      <w:pPr>
        <w:snapToGrid w:val="0"/>
        <w:spacing w:line="240" w:lineRule="auto"/>
        <w:ind w:left="315" w:leftChars="50" w:hanging="210" w:hangingChars="100"/>
        <w:rPr>
          <w:rFonts w:cs="宋体"/>
        </w:rPr>
      </w:pPr>
    </w:p>
    <w:p>
      <w:pPr>
        <w:snapToGrid w:val="0"/>
        <w:spacing w:line="240" w:lineRule="auto"/>
        <w:ind w:left="315" w:leftChars="50" w:hanging="210" w:hangingChars="100"/>
        <w:rPr>
          <w:rFonts w:cs="宋体"/>
        </w:rPr>
      </w:pPr>
      <w:r>
        <w:rPr>
          <w:rFonts w:cs="宋体"/>
        </w:rPr>
        <w:t>5.</w:t>
      </w:r>
      <w:r>
        <w:rPr>
          <w:rFonts w:hint="eastAsia" w:cs="宋体"/>
        </w:rPr>
        <w:t>银行业金融机构：是指在中华人民共和国境内设立的商业银行、城市信用合作社、农村信用合作社等吸收公众存款的金融机构以及政策性银行。</w:t>
      </w:r>
    </w:p>
    <w:p>
      <w:pPr>
        <w:snapToGrid w:val="0"/>
        <w:spacing w:line="240" w:lineRule="auto"/>
        <w:ind w:firstLine="0" w:firstLineChars="0"/>
        <w:outlineLvl w:val="0"/>
        <w:rPr>
          <w:rFonts w:cs="宋体"/>
          <w:b/>
          <w:bCs/>
        </w:rPr>
      </w:pPr>
    </w:p>
    <w:p>
      <w:pPr>
        <w:snapToGrid w:val="0"/>
        <w:spacing w:line="240" w:lineRule="auto"/>
        <w:ind w:firstLine="0" w:firstLineChars="0"/>
        <w:outlineLvl w:val="0"/>
        <w:rPr>
          <w:rFonts w:cs="宋体"/>
          <w:b/>
          <w:bCs/>
        </w:rPr>
      </w:pPr>
      <w:r>
        <w:rPr>
          <w:rFonts w:hint="eastAsia" w:cs="宋体"/>
          <w:b/>
          <w:bCs/>
        </w:rPr>
        <w:t>五、简</w:t>
      </w:r>
      <w:r>
        <w:rPr>
          <w:rFonts w:hint="eastAsia" w:cs="宋体"/>
          <w:b/>
          <w:bCs/>
          <w:lang w:eastAsia="zh-CN"/>
        </w:rPr>
        <w:t>述</w:t>
      </w:r>
      <w:r>
        <w:rPr>
          <w:rFonts w:hint="eastAsia" w:cs="宋体"/>
          <w:b/>
          <w:bCs/>
        </w:rPr>
        <w:t>题：</w:t>
      </w:r>
    </w:p>
    <w:p>
      <w:pPr>
        <w:snapToGrid w:val="0"/>
        <w:spacing w:line="240" w:lineRule="auto"/>
        <w:ind w:firstLine="105" w:firstLineChars="50"/>
        <w:rPr>
          <w:rFonts w:cs="宋体"/>
        </w:rPr>
      </w:pPr>
      <w:r>
        <w:rPr>
          <w:rFonts w:hint="eastAsia" w:cs="宋体"/>
          <w:lang w:val="en-US" w:eastAsia="zh-CN"/>
        </w:rPr>
        <w:t>1</w:t>
      </w:r>
      <w:r>
        <w:rPr>
          <w:rFonts w:cs="宋体"/>
        </w:rPr>
        <w:t>.</w:t>
      </w:r>
      <w:r>
        <w:rPr>
          <w:rFonts w:hint="eastAsia" w:cs="宋体"/>
        </w:rPr>
        <w:t>答：根据我国的《个人所得税法》的规定，下列各项个人所得，应纳个人所得税：</w:t>
      </w:r>
    </w:p>
    <w:p>
      <w:pPr>
        <w:snapToGrid w:val="0"/>
        <w:spacing w:line="240" w:lineRule="auto"/>
        <w:ind w:firstLine="735" w:firstLineChars="350"/>
        <w:rPr>
          <w:rFonts w:cs="宋体"/>
        </w:rPr>
      </w:pPr>
      <w:r>
        <w:rPr>
          <w:rFonts w:hint="eastAsia" w:cs="宋体"/>
        </w:rPr>
        <w:t>（</w:t>
      </w:r>
      <w:r>
        <w:rPr>
          <w:rFonts w:cs="宋体"/>
        </w:rPr>
        <w:t>1</w:t>
      </w:r>
      <w:r>
        <w:rPr>
          <w:rFonts w:hint="eastAsia" w:cs="宋体"/>
        </w:rPr>
        <w:t>）工资、薪金所得；（</w:t>
      </w:r>
      <w:r>
        <w:rPr>
          <w:rFonts w:cs="宋体"/>
        </w:rPr>
        <w:t>2</w:t>
      </w:r>
      <w:r>
        <w:rPr>
          <w:rFonts w:hint="eastAsia" w:cs="宋体"/>
        </w:rPr>
        <w:t>）个体工商户的生产、经营所得；</w:t>
      </w:r>
    </w:p>
    <w:p>
      <w:pPr>
        <w:snapToGrid w:val="0"/>
        <w:spacing w:line="240" w:lineRule="auto"/>
        <w:ind w:firstLine="735" w:firstLineChars="350"/>
        <w:rPr>
          <w:rFonts w:cs="宋体"/>
        </w:rPr>
      </w:pPr>
      <w:r>
        <w:rPr>
          <w:rFonts w:hint="eastAsia" w:cs="宋体"/>
        </w:rPr>
        <w:t>（</w:t>
      </w:r>
      <w:r>
        <w:rPr>
          <w:rFonts w:cs="宋体"/>
        </w:rPr>
        <w:t>3</w:t>
      </w:r>
      <w:r>
        <w:rPr>
          <w:rFonts w:hint="eastAsia" w:cs="宋体"/>
        </w:rPr>
        <w:t>）对企事业单位的承包经营、承租经营所得；（</w:t>
      </w:r>
      <w:r>
        <w:rPr>
          <w:rFonts w:cs="宋体"/>
        </w:rPr>
        <w:t>4</w:t>
      </w:r>
      <w:r>
        <w:rPr>
          <w:rFonts w:hint="eastAsia" w:cs="宋体"/>
        </w:rPr>
        <w:t>）劳务报酬所得；（</w:t>
      </w:r>
      <w:r>
        <w:rPr>
          <w:rFonts w:cs="宋体"/>
        </w:rPr>
        <w:t>5</w:t>
      </w:r>
      <w:r>
        <w:rPr>
          <w:rFonts w:hint="eastAsia" w:cs="宋体"/>
        </w:rPr>
        <w:t>）稿酬所得；</w:t>
      </w:r>
    </w:p>
    <w:p>
      <w:pPr>
        <w:snapToGrid w:val="0"/>
        <w:spacing w:line="240" w:lineRule="auto"/>
        <w:ind w:firstLine="735" w:firstLineChars="350"/>
        <w:rPr>
          <w:rFonts w:cs="宋体"/>
        </w:rPr>
      </w:pPr>
      <w:r>
        <w:rPr>
          <w:rFonts w:hint="eastAsia" w:cs="宋体"/>
        </w:rPr>
        <w:t>（</w:t>
      </w:r>
      <w:r>
        <w:rPr>
          <w:rFonts w:cs="宋体"/>
        </w:rPr>
        <w:t>6</w:t>
      </w:r>
      <w:r>
        <w:rPr>
          <w:rFonts w:hint="eastAsia" w:cs="宋体"/>
        </w:rPr>
        <w:t>）特许权使用费所得；（</w:t>
      </w:r>
      <w:r>
        <w:rPr>
          <w:rFonts w:cs="宋体"/>
        </w:rPr>
        <w:t>7</w:t>
      </w:r>
      <w:r>
        <w:rPr>
          <w:rFonts w:hint="eastAsia" w:cs="宋体"/>
        </w:rPr>
        <w:t>）利息、股息、红利所得；（</w:t>
      </w:r>
      <w:r>
        <w:rPr>
          <w:rFonts w:cs="宋体"/>
        </w:rPr>
        <w:t>8</w:t>
      </w:r>
      <w:r>
        <w:rPr>
          <w:rFonts w:hint="eastAsia" w:cs="宋体"/>
        </w:rPr>
        <w:t>）财产租赁所得；（</w:t>
      </w:r>
      <w:r>
        <w:rPr>
          <w:rFonts w:cs="宋体"/>
        </w:rPr>
        <w:t>9</w:t>
      </w:r>
      <w:r>
        <w:rPr>
          <w:rFonts w:hint="eastAsia" w:cs="宋体"/>
        </w:rPr>
        <w:t>）财产转让所得；</w:t>
      </w:r>
    </w:p>
    <w:p>
      <w:pPr>
        <w:snapToGrid w:val="0"/>
        <w:spacing w:line="240" w:lineRule="auto"/>
        <w:ind w:firstLine="630" w:firstLineChars="300"/>
        <w:rPr>
          <w:rFonts w:cs="宋体"/>
          <w:color w:val="000000"/>
        </w:rPr>
      </w:pPr>
      <w:r>
        <w:rPr>
          <w:rFonts w:hint="eastAsia" w:cs="宋体"/>
        </w:rPr>
        <w:t>（</w:t>
      </w:r>
      <w:r>
        <w:rPr>
          <w:rFonts w:cs="宋体"/>
        </w:rPr>
        <w:t>10</w:t>
      </w:r>
      <w:r>
        <w:rPr>
          <w:rFonts w:hint="eastAsia" w:cs="宋体"/>
        </w:rPr>
        <w:t>）偶然所得；（</w:t>
      </w:r>
      <w:r>
        <w:rPr>
          <w:rFonts w:cs="宋体"/>
        </w:rPr>
        <w:t>11</w:t>
      </w:r>
      <w:r>
        <w:rPr>
          <w:rFonts w:hint="eastAsia" w:cs="宋体"/>
        </w:rPr>
        <w:t>）经国务院财政部门确定征税的其他所得。</w:t>
      </w:r>
    </w:p>
    <w:p>
      <w:pPr>
        <w:snapToGrid w:val="0"/>
        <w:spacing w:line="240" w:lineRule="auto"/>
        <w:ind w:left="0" w:leftChars="0" w:firstLine="0" w:firstLineChars="0"/>
        <w:rPr>
          <w:rFonts w:cs="宋体"/>
        </w:rPr>
      </w:pPr>
    </w:p>
    <w:p>
      <w:pPr>
        <w:snapToGrid w:val="0"/>
        <w:spacing w:line="240" w:lineRule="auto"/>
        <w:ind w:firstLine="105" w:firstLineChars="50"/>
        <w:rPr>
          <w:rFonts w:cs="宋体"/>
        </w:rPr>
      </w:pPr>
    </w:p>
    <w:p>
      <w:pPr>
        <w:snapToGrid w:val="0"/>
        <w:spacing w:line="240" w:lineRule="auto"/>
        <w:ind w:left="735" w:leftChars="50" w:hanging="630" w:hangingChars="300"/>
        <w:rPr>
          <w:rFonts w:cs="宋体"/>
          <w:color w:val="000000"/>
        </w:rPr>
      </w:pPr>
      <w:r>
        <w:rPr>
          <w:rFonts w:cs="宋体"/>
        </w:rPr>
        <w:t>2.</w:t>
      </w:r>
      <w:r>
        <w:rPr>
          <w:rFonts w:hint="eastAsia" w:cs="宋体"/>
        </w:rPr>
        <w:t>答：</w:t>
      </w:r>
      <w:r>
        <w:rPr>
          <w:rFonts w:hint="eastAsia" w:cs="宋体"/>
          <w:color w:val="000000"/>
        </w:rPr>
        <w:t>经济法与行政法的联系是：经济法所调整的国家经济调节关系是一种国家经济管理关系。行政法所调整的国家行政管理关系中的一部分也是一种经济管理关系。</w:t>
      </w:r>
    </w:p>
    <w:p>
      <w:pPr>
        <w:snapToGrid w:val="0"/>
        <w:spacing w:line="240" w:lineRule="auto"/>
        <w:ind w:firstLine="1155" w:firstLineChars="550"/>
        <w:rPr>
          <w:rFonts w:cs="宋体"/>
          <w:color w:val="000000"/>
        </w:rPr>
      </w:pPr>
      <w:r>
        <w:rPr>
          <w:rFonts w:hint="eastAsia" w:cs="宋体"/>
          <w:color w:val="000000"/>
        </w:rPr>
        <w:t>但这两种国家管理及其产生的管理关系是有区别的，具体表现在：</w:t>
      </w:r>
    </w:p>
    <w:p>
      <w:pPr>
        <w:snapToGrid w:val="0"/>
        <w:spacing w:line="240" w:lineRule="auto"/>
        <w:ind w:firstLine="1155" w:firstLineChars="550"/>
        <w:rPr>
          <w:rFonts w:cs="宋体"/>
          <w:color w:val="000000"/>
        </w:rPr>
      </w:pPr>
      <w:r>
        <w:rPr>
          <w:rFonts w:hint="eastAsia" w:cs="宋体"/>
          <w:color w:val="000000"/>
        </w:rPr>
        <w:t>（</w:t>
      </w:r>
      <w:r>
        <w:rPr>
          <w:rFonts w:cs="宋体"/>
          <w:color w:val="000000"/>
        </w:rPr>
        <w:t>1</w:t>
      </w:r>
      <w:r>
        <w:rPr>
          <w:rFonts w:hint="eastAsia" w:cs="宋体"/>
          <w:color w:val="000000"/>
        </w:rPr>
        <w:t>）管理的目的、任务不同；（</w:t>
      </w:r>
      <w:r>
        <w:rPr>
          <w:rFonts w:cs="宋体"/>
          <w:color w:val="000000"/>
        </w:rPr>
        <w:t>2</w:t>
      </w:r>
      <w:r>
        <w:rPr>
          <w:rFonts w:hint="eastAsia" w:cs="宋体"/>
          <w:color w:val="000000"/>
        </w:rPr>
        <w:t>）管理方式和手段不同；（</w:t>
      </w:r>
      <w:r>
        <w:rPr>
          <w:rFonts w:cs="宋体"/>
          <w:color w:val="000000"/>
        </w:rPr>
        <w:t>3</w:t>
      </w:r>
      <w:r>
        <w:rPr>
          <w:rFonts w:hint="eastAsia" w:cs="宋体"/>
          <w:color w:val="000000"/>
        </w:rPr>
        <w:t>）管理原则不同；</w:t>
      </w:r>
    </w:p>
    <w:p>
      <w:pPr>
        <w:snapToGrid w:val="0"/>
        <w:spacing w:line="240" w:lineRule="auto"/>
        <w:ind w:firstLine="1155" w:firstLineChars="550"/>
        <w:rPr>
          <w:rFonts w:cs="宋体"/>
          <w:color w:val="000000"/>
        </w:rPr>
      </w:pPr>
      <w:r>
        <w:rPr>
          <w:rFonts w:hint="eastAsia" w:cs="宋体"/>
          <w:color w:val="000000"/>
        </w:rPr>
        <w:t>（</w:t>
      </w:r>
      <w:r>
        <w:rPr>
          <w:rFonts w:cs="宋体"/>
          <w:color w:val="000000"/>
        </w:rPr>
        <w:t>4</w:t>
      </w:r>
      <w:r>
        <w:rPr>
          <w:rFonts w:hint="eastAsia" w:cs="宋体"/>
          <w:color w:val="000000"/>
        </w:rPr>
        <w:t>）管理内容与深度不同；（</w:t>
      </w:r>
      <w:r>
        <w:rPr>
          <w:rFonts w:cs="宋体"/>
          <w:color w:val="000000"/>
        </w:rPr>
        <w:t>5</w:t>
      </w:r>
      <w:r>
        <w:rPr>
          <w:rFonts w:hint="eastAsia" w:cs="宋体"/>
          <w:color w:val="000000"/>
        </w:rPr>
        <w:t>）侧重的角度不同；（</w:t>
      </w:r>
      <w:r>
        <w:rPr>
          <w:rFonts w:cs="宋体"/>
          <w:color w:val="000000"/>
        </w:rPr>
        <w:t>6</w:t>
      </w:r>
      <w:r>
        <w:rPr>
          <w:rFonts w:hint="eastAsia" w:cs="宋体"/>
          <w:color w:val="000000"/>
        </w:rPr>
        <w:t>）管理主体不同。</w:t>
      </w:r>
    </w:p>
    <w:p>
      <w:pPr>
        <w:snapToGrid w:val="0"/>
        <w:spacing w:line="240" w:lineRule="auto"/>
        <w:ind w:firstLine="105" w:firstLineChars="50"/>
        <w:rPr>
          <w:rFonts w:cs="宋体"/>
        </w:rPr>
      </w:pPr>
    </w:p>
    <w:p>
      <w:pPr>
        <w:snapToGrid w:val="0"/>
        <w:spacing w:line="240" w:lineRule="auto"/>
        <w:ind w:left="735" w:leftChars="350" w:firstLine="420"/>
      </w:pPr>
    </w:p>
    <w:sectPr>
      <w:pgSz w:w="11906" w:h="16838"/>
      <w:pgMar w:top="1440" w:right="1134" w:bottom="1440" w:left="1134" w:header="851" w:footer="992" w:gutter="0"/>
      <w:cols w:space="720" w:num="1"/>
      <w:docGrid w:type="lines" w:linePitch="303" w:charSpace="-18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184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name="header"/>
    <w:lsdException w:unhideWhenUsed="0"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80" w:lineRule="exact"/>
      <w:ind w:firstLine="200" w:firstLineChars="200"/>
      <w:jc w:val="both"/>
    </w:pPr>
    <w:rPr>
      <w:rFonts w:ascii="宋体" w:hAnsi="宋体" w:eastAsia="宋体" w:cs="Times New Roman"/>
      <w:kern w:val="2"/>
      <w:sz w:val="21"/>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semiHidden/>
    <w:uiPriority w:val="99"/>
    <w:pPr>
      <w:tabs>
        <w:tab w:val="center" w:pos="4153"/>
        <w:tab w:val="right" w:pos="8306"/>
      </w:tabs>
      <w:snapToGrid w:val="0"/>
      <w:spacing w:line="240" w:lineRule="atLeast"/>
      <w:jc w:val="left"/>
    </w:pPr>
    <w:rPr>
      <w:sz w:val="18"/>
      <w:szCs w:val="18"/>
    </w:rPr>
  </w:style>
  <w:style w:type="paragraph" w:styleId="3">
    <w:name w:val="header"/>
    <w:basedOn w:val="1"/>
    <w:semiHidden/>
    <w:uiPriority w:val="99"/>
    <w:pPr>
      <w:pBdr>
        <w:bottom w:val="single" w:color="auto" w:sz="6" w:space="1"/>
      </w:pBdr>
      <w:tabs>
        <w:tab w:val="center" w:pos="4153"/>
        <w:tab w:val="right" w:pos="8306"/>
      </w:tabs>
      <w:snapToGrid w:val="0"/>
      <w:spacing w:line="240" w:lineRule="atLeast"/>
      <w:jc w:val="center"/>
    </w:pPr>
    <w:rPr>
      <w:sz w:val="18"/>
      <w:szCs w:val="18"/>
    </w:rPr>
  </w:style>
  <w:style w:type="character" w:styleId="6">
    <w:name w:val="page number"/>
    <w:basedOn w:val="5"/>
    <w:uiPriority w:val="99"/>
    <w:rPr>
      <w:rFonts w:cs="Times New Roman"/>
    </w:rPr>
  </w:style>
  <w:style w:type="paragraph" w:customStyle="1" w:styleId="7">
    <w:name w:val="主标题"/>
    <w:uiPriority w:val="99"/>
    <w:pPr>
      <w:snapToGrid w:val="0"/>
      <w:jc w:val="center"/>
      <w:outlineLvl w:val="0"/>
    </w:pPr>
    <w:rPr>
      <w:rFonts w:ascii="宋体" w:hAnsi="宋体" w:eastAsia="宋体" w:cs="宋体"/>
      <w:b/>
      <w:kern w:val="2"/>
      <w:sz w:val="30"/>
      <w:szCs w:val="3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2020-05-14T06:49:48Z</dcterms:created>
  <dc:creator>admin</dc:creator>
  <cp:lastModifiedBy>A.东莞卫培教育教务黎老师</cp:lastModifiedBy>
  <dcterms:modified xsi:type="dcterms:W3CDTF">2020-05-14T07:11:09Z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